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66"/>
        <w:gridCol w:w="4380"/>
        <w:gridCol w:w="5121"/>
        <w:gridCol w:w="312"/>
      </w:tblGrid>
      <w:tr>
        <w:trPr>
          <w:trHeight w:val="450" w:hRule="atLeast"/>
        </w:trPr>
        <w:tc>
          <w:tcPr>
            <w:tcW w:w="10167" w:type="dxa"/>
            <w:gridSpan w:val="3"/>
            <w:vMerge w:val="restart"/>
            <w:tcBorders/>
            <w:shd w:color="0563C1" w:fill="2F5597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312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167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  <w:tc>
          <w:tcPr>
            <w:tcW w:w="31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167" w:type="dxa"/>
            <w:gridSpan w:val="3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167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  <w:tc>
          <w:tcPr>
            <w:tcW w:w="31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80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ID konania/ID of the procedure: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</w:p>
        </w:tc>
        <w:tc>
          <w:tcPr>
            <w:tcW w:w="5121" w:type="dxa"/>
            <w:tcBorders>
              <w:top w:val="single" w:sz="8" w:space="0" w:color="2F5597"/>
              <w:right w:val="single" w:sz="8" w:space="0" w:color="2F559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bookmarkStart w:id="0" w:name="RANGE!C9"/>
            <w:r>
              <w:rPr>
                <w:rFonts w:eastAsia="Times New Roman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bookmarkEnd w:id="0"/>
          </w:p>
        </w:tc>
        <w:tc>
          <w:tcPr>
            <w:tcW w:w="5121" w:type="dxa"/>
            <w:tcBorders>
              <w:bottom w:val="single" w:sz="8" w:space="0" w:color="2F5597"/>
              <w:right w:val="single" w:sz="8" w:space="0" w:color="2F559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OCA1. Priezvisko hodnotenej osoby / Surname awarded to the assessed person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Hardy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15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OCA2. Meno hodnotenej osoby / Name awarded to the assessed person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Mária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OCA3. Tituly hodnotenej osoby / Degrees awarded to the assessed person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Doc. PhDr., PhD.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OCA4. Hyperlink na záznam osoby v Registri zamestnancov vysokých škôl / Hyperlink to the entry of the person in the Register of university staff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2">
              <w:r>
                <w:rPr>
                  <w:rStyle w:val="Internetovodkaz"/>
                  <w:rFonts w:eastAsia="Times New Roman"/>
                  <w:sz w:val="16"/>
                  <w:szCs w:val="16"/>
                  <w:lang w:eastAsia="sk-SK"/>
                </w:rPr>
                <w:t>https://www.portalvs.sk/regzam/detail/</w:t>
              </w:r>
            </w:hyperlink>
            <w:r>
              <w:rPr>
                <w:rStyle w:val="Internetovodkaz"/>
                <w:rFonts w:eastAsia="Times New Roman"/>
                <w:sz w:val="16"/>
                <w:szCs w:val="16"/>
                <w:lang w:eastAsia="sk-SK"/>
              </w:rPr>
              <w:t>12430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OCA5. Oblasť posudzovania / Area of assessment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4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Sociálna práca I. - II. stupeň/ Social work I. - II.degree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"Expl.OCA6!A1"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OCA6. Kategória výstupu tvorivej činnosti / Category of the research/ artistic/other output </w:t>
              <w:br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 možností (pozri Vysvetlivky k položke OCA6) / Choice from 6 options (see Explanations for OCA6). 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sz w:val="16"/>
                <w:szCs w:val="16"/>
                <w:lang w:val="en-GB"/>
              </w:rPr>
              <w:t xml:space="preserve">pedagogický výstup / pedagogical </w:t>
            </w:r>
            <w:r>
              <w:rPr>
                <w:rFonts w:cs="Calibri" w:cstheme="minorHAnsi"/>
                <w:bCs/>
                <w:sz w:val="16"/>
                <w:lang w:val="en-GB"/>
              </w:rPr>
              <w:t>output</w:t>
            </w:r>
          </w:p>
          <w:p>
            <w:pPr>
              <w:pStyle w:val="Normlny1"/>
              <w:widowControl w:val="fals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 w:ascii="Calibri" w:hAnsi="Calibri"/>
                <w:sz w:val="16"/>
                <w:szCs w:val="16"/>
              </w:rPr>
            </w:r>
          </w:p>
          <w:p>
            <w:pPr>
              <w:pStyle w:val="Normlny1"/>
              <w:widowControl w:val="false"/>
              <w:rPr>
                <w:rFonts w:ascii="Calibri" w:hAnsi="Calibri" w:eastAsia="Times New Roman" w:cs="Calibri"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Calibri" w:ascii="Calibri" w:hAnsi="Calibri"/>
                <w:sz w:val="16"/>
                <w:szCs w:val="16"/>
              </w:rPr>
              <w:t>Hardy, Mária a kol.  Rodina pod multidisciplinárnou optikou. 1. vyd. Příbram:  Ústav sv. Jana Nepomuka, 2015. - 422 s. ISBN  978-80-905973-5-8.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2015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OCA8. ID záznamu v CREPČ alebo CREUČ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i/>
                <w:iCs/>
                <w:sz w:val="16"/>
                <w:szCs w:val="16"/>
                <w:lang w:eastAsia="sk-SK"/>
              </w:rPr>
              <w:t>(ak je)</w:t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/ ID of the record in the Central Registry of Publication Activity (CRPA) or the Central Registry of Artistic Activity (CRAA) </w:t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5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94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OCA9. Hyperlink na záznam v CREPČ alebo CREUČ / Hyperlink to the record in CRPA or CRAA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6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66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BE5D6" w:fill="DAE3F3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OCA10. Hyperlink na záznam v inom verejne prístupnom registri, katalógu výstupov tvorivých činností / Hyperlink to the record in another publicly accessible register, catalogue of research/ artistic/other outputs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7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60" w:hanging="16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https://sclib.svkk.sk/sck01/Record/000560134/Details                                                                                                                              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sz w:val="16"/>
                <w:szCs w:val="16"/>
              </w:rPr>
              <w:t xml:space="preserve">AAA Hardy Mária a kol. Rodina pod multidisciplinárnou optikou. 1. vyd. - Příbram: Ústav sv. Jana Neumanna, 2015. 422 s. </w:t>
            </w:r>
            <w:r>
              <w:rPr>
                <w:rFonts w:cs="Calibri"/>
                <w:sz w:val="16"/>
                <w:szCs w:val="16"/>
              </w:rPr>
              <w:t xml:space="preserve">ISBN </w:t>
            </w:r>
            <w:r>
              <w:rPr>
                <w:rFonts w:cs="Calibri"/>
                <w:sz w:val="16"/>
                <w:szCs w:val="16"/>
                <w:lang w:val="en-GB"/>
              </w:rPr>
              <w:t>978-80-87182-17-8.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"Expl.OCA12!A1"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>OCA12. Typ výstupu (ak nie je výstup registrovaný v CREPČ alebo CREUČ) / Type of the output (if the output is not registered in CRPA or CRAA)</w:t>
              <w:br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67 možností (pozri Vysvetlivky k položke OCA12) / Choice from 67 options (see Explanations for OCA12). 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Poznmkapodiarou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Monografia</w:t>
            </w:r>
            <w:r>
              <w:rPr>
                <w:sz w:val="16"/>
                <w:szCs w:val="16"/>
              </w:rPr>
              <w:t xml:space="preserve"> / </w:t>
            </w:r>
            <w:r>
              <w:rPr>
                <w:sz w:val="16"/>
                <w:szCs w:val="16"/>
                <w:lang w:val="en-GB"/>
              </w:rPr>
              <w:t>Monograph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000000"/>
                <w:sz w:val="16"/>
                <w:szCs w:val="16"/>
                <w:lang w:val="en-GB" w:eastAsia="sk-SK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val="en-GB"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eastAsia="sk-SK"/>
              </w:rPr>
            </w:pPr>
            <w:r>
              <w:rPr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widowControl w:val="false"/>
              <w:shd w:val="clear" w:color="auto" w:fill="F8F9FA"/>
              <w:spacing w:lineRule="atLeast" w:line="360"/>
              <w:rPr>
                <w:rFonts w:ascii="Calibri" w:hAnsi="Calibri" w:asciiTheme="minorHAnsi" w:hAnsiTheme="minorHAnsi"/>
                <w:color w:val="202124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202124"/>
                <w:sz w:val="16"/>
                <w:szCs w:val="16"/>
                <w:shd w:fill="auto" w:val="clear"/>
              </w:rPr>
              <w:t>3</w:t>
            </w:r>
            <w:r>
              <w:rPr>
                <w:rFonts w:cs="Calibri" w:ascii="Calibri" w:hAnsi="Calibri"/>
                <w:color w:val="202124"/>
                <w:sz w:val="16"/>
                <w:szCs w:val="16"/>
                <w:shd w:fill="auto" w:val="clear"/>
              </w:rPr>
              <w:t>0 %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965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8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Range up to 200 words in SlovakRozsah do 200 slov v anglickom jazyku / Range up to 200 words in English 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 w:themeColor="text1"/>
                <w:sz w:val="16"/>
                <w:szCs w:val="16"/>
                <w:lang w:eastAsia="sk-SK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 w:themeColor="text1"/>
                <w:sz w:val="16"/>
                <w:szCs w:val="16"/>
                <w:lang w:eastAsia="sk-SK"/>
              </w:rPr>
              <w:t xml:space="preserve">Podiel autora 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lang w:eastAsia="sk-SK"/>
              </w:rPr>
              <w:t>je v redakčnom spracovaní monografie (redakčná práca) a v charakteristik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lang w:eastAsia="sk-SK"/>
              </w:rPr>
              <w:t>e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lang w:eastAsia="sk-SK"/>
              </w:rPr>
              <w:t xml:space="preserve"> pojmov teória vzťahovej väzby, vzorce vzťahovej väzby v priebehu života, patogénna a traumatogénna rodinná dynamika, intervencia porúch vzťahovej väzby.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eastAsia="Times New Roman" w:cs="Calibri"/>
                <w:color w:val="000000" w:themeColor="text1"/>
                <w:sz w:val="16"/>
                <w:szCs w:val="16"/>
                <w:shd w:fill="auto" w:val="clear"/>
                <w:lang w:eastAsia="sk-SK"/>
              </w:rPr>
              <w:t xml:space="preserve">/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 xml:space="preserve">The author's contribution is in the editorial elaboration of the monograph (editorial work) and in the characteristics of the concepts of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>attachment theory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 xml:space="preserve">, patterns of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 xml:space="preserve">attachment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 xml:space="preserve">throughout life, pathogenic and traumatogenic family dynamics, intervention of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 xml:space="preserve">attachment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>disorders.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OCA16. Anotácia výstupu v anglickom jazyku / Annotation of the output in English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 xml:space="preserve"> 9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The publication presents a multidisciplinary approach in relation to the family and its social problems. The helping process aims to alleviate or eliminate a specific problem of the family and improve the quality of life as a whole. Multidisciplinary optics is part not only of scientific research but also of the practical professional activity of helping professions.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eastAsia="SimSun" w:cs="Calibri" w:cstheme="minorHAnsi"/>
                <w:color w:val="212529"/>
                <w:sz w:val="16"/>
                <w:szCs w:val="16"/>
                <w:shd w:fill="FFFFFF" w:val="clear"/>
                <w:lang w:eastAsia="sk-SK"/>
              </w:rPr>
            </w:pPr>
            <w:r>
              <w:rPr>
                <w:rFonts w:eastAsia="SimSun" w:cs="Calibri" w:cstheme="minorHAnsi"/>
                <w:color w:val="212529"/>
                <w:sz w:val="16"/>
                <w:szCs w:val="16"/>
                <w:shd w:fill="FFFFFF" w:val="clear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widowControl w:val="false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Výstup sa zameriava na objasnenie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multidisciplinárneho prístupu pri riešení problémov rodiny a zvyšovanie kvality života všetkých členov rodiny. Tým vytvára predpoklady na zavedenie zmien v rodinnej politike a vytvára priestor pre primárnu prevenciu, ktorá predchádza sociálnej patológii rodiny.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/</w:t>
            </w:r>
          </w:p>
          <w:p>
            <w:pPr>
              <w:pStyle w:val="HTMLPreformatted"/>
              <w:widowControl w:val="false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The output focuses on clarifying the multidisciplinary approach in solving family problems and improving the quality of life of all family members.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I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t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thereby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creates the prerequisites for the introduction of changes in family policy and creates space for primary prevention, which prevents the social pathology of the family.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widowControl w:val="false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Výstup poukazuje na p</w:t>
            </w:r>
            <w:r>
              <w:rPr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szCs w:val="16"/>
                <w:shd w:fill="auto" w:val="clear"/>
              </w:rPr>
              <w:t xml:space="preserve">rimárnu prevenciu v oblasti sociálnej patológie </w:t>
            </w:r>
            <w:r>
              <w:rPr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szCs w:val="16"/>
                <w:shd w:fill="auto" w:val="clear"/>
              </w:rPr>
              <w:t>rodiny</w:t>
            </w:r>
            <w:r>
              <w:rPr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szCs w:val="16"/>
                <w:shd w:fill="auto" w:val="clear"/>
              </w:rPr>
              <w:t xml:space="preserve">, ktorá začína hlbokým rešpektom pre prenatálne dieťa v maternici a jeho matku. </w:t>
            </w:r>
            <w:r>
              <w:rPr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szCs w:val="16"/>
                <w:shd w:fill="auto" w:val="clear"/>
              </w:rPr>
              <w:t>Funkčná rodina je najlepšou školou života pre nové generácie. Publikácia v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ytvára motivačné predpoklady, aby študenti pristupovali k riešeniu sociálnych problémov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rodiny multidisciplinárne.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Obsah  výstupu môže byť aplikovaný v predmetoch: Etika pre sociálnych pracovníkov, Sociálna práca s rodinou,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Sociálna patológia,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Metódy sociálnej práce,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Krízová intervencia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 / The output points to primary prevention in the field of social pathology of the family, which begins with deep respect for the prenatal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child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 in the womb and his mother. A functional family is the best school of life for new generations. The publication creates motivational prerequisites for students to approach solving the social problems of the family in a multidisciplinary way.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  <w:lang w:val="en-GB"/>
              </w:rPr>
              <w:t xml:space="preserve">The content of the output can be applied in the subjects: Ethics for social workers, Social work with the family, Social pathology,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  <w:lang w:val="en-GB"/>
              </w:rPr>
              <w:t>Methods of s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  <w:lang w:val="en-GB"/>
              </w:rPr>
              <w:t xml:space="preserve">ocial work, Crisis intervention 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k-SK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imSu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sk-SK" w:eastAsia="zh-CN" w:bidi="sa-I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sk-SK" w:eastAsia="sk-SK" w:bidi="sa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Mangal" w:asciiTheme="minorHAnsi" w:cstheme="minorBidi" w:eastAsiaTheme="minorHAnsi" w:hAnsiTheme="minorHAnsi"/>
      <w:color w:val="auto"/>
      <w:kern w:val="0"/>
      <w:sz w:val="22"/>
      <w:szCs w:val="22"/>
      <w:lang w:val="sk-SK" w:eastAsia="en-US" w:bidi="ar-SA"/>
    </w:rPr>
  </w:style>
  <w:style w:type="paragraph" w:styleId="Nadpis1">
    <w:name w:val="Heading 1"/>
    <w:next w:val="Normal"/>
    <w:uiPriority w:val="9"/>
    <w:qFormat/>
    <w:pPr>
      <w:widowControl/>
      <w:suppressAutoHyphens w:val="true"/>
      <w:bidi w:val="0"/>
      <w:spacing w:beforeAutospacing="1" w:afterAutospacing="1"/>
      <w:jc w:val="left"/>
      <w:outlineLvl w:val="0"/>
    </w:pPr>
    <w:rPr>
      <w:rFonts w:ascii="SimSun" w:hAnsi="SimSun" w:eastAsia="SimSun" w:cs="Mangal"/>
      <w:b/>
      <w:bCs/>
      <w:color w:val="auto"/>
      <w:kern w:val="2"/>
      <w:sz w:val="48"/>
      <w:szCs w:val="48"/>
      <w:lang w:val="en-US" w:eastAsia="zh-CN" w:bidi="sa-IN"/>
    </w:rPr>
  </w:style>
  <w:style w:type="paragraph" w:styleId="Nadpis2">
    <w:name w:val="Heading 2"/>
    <w:basedOn w:val="Normal"/>
    <w:next w:val="Normal"/>
    <w:link w:val="Nadpis2Char"/>
    <w:uiPriority w:val="9"/>
    <w:semiHidden/>
    <w:unhideWhenUsed/>
    <w:qFormat/>
    <w:rsid w:val="00157275"/>
    <w:pPr>
      <w:keepNext w:val="true"/>
      <w:keepLines/>
      <w:spacing w:before="40" w:after="0"/>
      <w:outlineLvl w:val="1"/>
    </w:pPr>
    <w:rPr>
      <w:rFonts w:ascii="Calibri Light" w:hAnsi="Calibri Light" w:eastAsia="等线 Light" w:cs="Mangal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qFormat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a42b8"/>
    <w:rPr>
      <w:color w:val="605E5C"/>
      <w:shd w:fill="E1DFDD" w:val="clear"/>
    </w:rPr>
  </w:style>
  <w:style w:type="character" w:styleId="Nadpis2Char" w:customStyle="1">
    <w:name w:val="Nadpis 2 Char"/>
    <w:basedOn w:val="DefaultParagraphFont"/>
    <w:link w:val="Nadpis2"/>
    <w:uiPriority w:val="9"/>
    <w:semiHidden/>
    <w:qFormat/>
    <w:rsid w:val="00157275"/>
    <w:rPr>
      <w:rFonts w:ascii="Calibri Light" w:hAnsi="Calibri Light" w:eastAsia="等线 Light" w:cs="Mangal" w:asciiTheme="majorHAnsi" w:cstheme="majorBidi" w:eastAsiaTheme="majorEastAsia" w:hAnsiTheme="majorHAnsi"/>
      <w:color w:val="2F5496" w:themeColor="accent1" w:themeShade="bf"/>
      <w:sz w:val="26"/>
      <w:szCs w:val="26"/>
      <w:lang w:eastAsia="en-US" w:bidi="ar-SA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Arial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Poznmkapodiarou">
    <w:name w:val="Footnote Text"/>
    <w:basedOn w:val="Normal"/>
    <w:uiPriority w:val="99"/>
    <w:unhideWhenUsed/>
    <w:qFormat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sk-SK"/>
    </w:rPr>
  </w:style>
  <w:style w:type="paragraph" w:styleId="NormalWeb">
    <w:name w:val="Normal (Web)"/>
    <w:basedOn w:val="Normal"/>
    <w:uiPriority w:val="99"/>
    <w:semiHidden/>
    <w:unhideWhenUsed/>
    <w:qFormat/>
    <w:pPr/>
    <w:rPr>
      <w:sz w:val="24"/>
      <w:szCs w:val="24"/>
    </w:rPr>
  </w:style>
  <w:style w:type="paragraph" w:styleId="Normlny1" w:customStyle="1">
    <w:name w:val="Normálny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sk-SK" w:eastAsia="sk-SK" w:bidi="ar-SA"/>
    </w:rPr>
  </w:style>
  <w:style w:type="paragraph" w:styleId="Western" w:customStyle="1">
    <w:name w:val="wester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0"/>
      <w:sz w:val="24"/>
      <w:szCs w:val="24"/>
      <w:lang w:val="en-US" w:eastAsia="zh-CN" w:bidi="sa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3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Normlnatabuka1">
    <w:name w:val="Normálna tabuľka1"/>
    <w:semiHidden/>
    <w:qFormat/>
    <w:pPr>
      <w:spacing w:after="160" w:line="256" w:lineRule="auto"/>
    </w:pPr>
    <w:rPr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portalvs.sk/regzam/detail/12319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LibreOffice/7.0.4.2$Windows_X86_64 LibreOffice_project/dcf040e67528d9187c66b2379df5ea4407429775</Application>
  <AppVersion>15.0000</AppVersion>
  <Pages>2</Pages>
  <Words>1084</Words>
  <Characters>6177</Characters>
  <CharactersWithSpaces>7372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2022-08-17T05:04:00Z</dcterms:created>
  <dc:creator>Jakub Králik</dc:creator>
  <dc:description/>
  <dc:language>sk-SK</dc:language>
  <cp:lastModifiedBy/>
  <dcterms:modified xsi:type="dcterms:W3CDTF">2022-08-25T11:26:08Z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A37B1A9D7EC149AA9272174AAA4FC1B6</vt:lpwstr>
  </property>
  <property fmtid="{D5CDD505-2E9C-101B-9397-08002B2CF9AE}" pid="3" name="KSOProductBuildVer">
    <vt:lpwstr>1033-11.2.0.10308</vt:lpwstr>
  </property>
</Properties>
</file>